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BCAF8" w14:textId="77777777" w:rsidR="00111094" w:rsidRPr="007B7AD1" w:rsidRDefault="00111094" w:rsidP="00111094">
      <w:pPr>
        <w:pStyle w:val="Heading3"/>
        <w:spacing w:before="0" w:after="0" w:line="240" w:lineRule="auto"/>
        <w:rPr>
          <w:b/>
          <w:bCs/>
          <w:sz w:val="32"/>
          <w:szCs w:val="32"/>
        </w:rPr>
      </w:pPr>
      <w:bookmarkStart w:id="0" w:name="_Toc45098155"/>
      <w:r w:rsidRPr="007B7AD1">
        <w:rPr>
          <w:b/>
          <w:bCs/>
          <w:sz w:val="32"/>
          <w:szCs w:val="32"/>
        </w:rPr>
        <w:t>Year End Tips</w:t>
      </w:r>
      <w:bookmarkEnd w:id="0"/>
    </w:p>
    <w:p w14:paraId="715690A4" w14:textId="77777777" w:rsidR="00111094" w:rsidRDefault="00111094" w:rsidP="00111094">
      <w:pPr>
        <w:pStyle w:val="Heading3"/>
        <w:shd w:val="clear" w:color="auto" w:fill="FFFFFF"/>
        <w:spacing w:before="0" w:after="0" w:line="240" w:lineRule="auto"/>
      </w:pPr>
      <w:bookmarkStart w:id="1" w:name="_ycxc6nccbi" w:colFirst="0" w:colLast="0"/>
      <w:bookmarkStart w:id="2" w:name="_j33ms63d8lm" w:colFirst="0" w:colLast="0"/>
      <w:bookmarkStart w:id="3" w:name="_5lph5s6n7gjw" w:colFirst="0" w:colLast="0"/>
      <w:bookmarkStart w:id="4" w:name="_Toc45098156"/>
      <w:bookmarkEnd w:id="1"/>
      <w:bookmarkEnd w:id="2"/>
      <w:bookmarkEnd w:id="3"/>
    </w:p>
    <w:p w14:paraId="20F7C9DC" w14:textId="77777777" w:rsidR="00111094" w:rsidRDefault="00111094" w:rsidP="00111094">
      <w:pPr>
        <w:pStyle w:val="Heading3"/>
        <w:spacing w:before="0" w:after="0" w:line="240" w:lineRule="auto"/>
      </w:pPr>
      <w:r>
        <w:t>Newsletter</w:t>
      </w:r>
      <w:bookmarkEnd w:id="4"/>
      <w:r>
        <w:t xml:space="preserve"> </w:t>
      </w:r>
      <w:bookmarkStart w:id="5" w:name="_nh720wor8c02" w:colFirst="0" w:colLast="0"/>
      <w:bookmarkEnd w:id="5"/>
    </w:p>
    <w:p w14:paraId="5D07AE26" w14:textId="77777777" w:rsidR="00111094" w:rsidRDefault="00111094" w:rsidP="00111094">
      <w:pPr>
        <w:shd w:val="clear" w:color="auto" w:fill="FFFFFF"/>
        <w:spacing w:line="240" w:lineRule="auto"/>
      </w:pPr>
      <w:bookmarkStart w:id="6" w:name="_na6ga87nh620" w:colFirst="0" w:colLast="0"/>
      <w:bookmarkEnd w:id="6"/>
      <w:r>
        <w:rPr>
          <w:b/>
        </w:rPr>
        <w:t xml:space="preserve">Title: Let’s fall into a better HSA </w:t>
      </w:r>
    </w:p>
    <w:p w14:paraId="0AB0CE9C" w14:textId="77777777" w:rsidR="00111094" w:rsidRDefault="00111094" w:rsidP="00111094">
      <w:pPr>
        <w:shd w:val="clear" w:color="auto" w:fill="FFFFFF"/>
        <w:spacing w:line="240" w:lineRule="auto"/>
      </w:pPr>
    </w:p>
    <w:p w14:paraId="3BF2F23E" w14:textId="77777777" w:rsidR="00111094" w:rsidRDefault="00111094" w:rsidP="00111094">
      <w:pPr>
        <w:shd w:val="clear" w:color="auto" w:fill="FFFFFF"/>
        <w:spacing w:line="240" w:lineRule="auto"/>
      </w:pPr>
      <w:r>
        <w:t xml:space="preserve">It’s pumpkin spice season, which means the end of the year is just around the corner. Let’s make sure you’re on pace to hit your goals. </w:t>
      </w:r>
    </w:p>
    <w:p w14:paraId="7243F782" w14:textId="77777777" w:rsidR="00111094" w:rsidRDefault="00111094" w:rsidP="00111094">
      <w:pPr>
        <w:shd w:val="clear" w:color="auto" w:fill="FFFFFF"/>
        <w:spacing w:line="240" w:lineRule="auto"/>
      </w:pPr>
    </w:p>
    <w:p w14:paraId="347B1EE7" w14:textId="77777777" w:rsidR="00111094" w:rsidRDefault="00111094" w:rsidP="00111094">
      <w:pPr>
        <w:numPr>
          <w:ilvl w:val="0"/>
          <w:numId w:val="5"/>
        </w:numPr>
        <w:spacing w:line="240" w:lineRule="auto"/>
        <w:ind w:left="1080"/>
      </w:pPr>
      <w:r>
        <w:rPr>
          <w:b/>
        </w:rPr>
        <w:t>Reduce your tax bill</w:t>
      </w:r>
      <w:r w:rsidRPr="00E54820">
        <w:rPr>
          <w:b/>
          <w:vertAlign w:val="superscript"/>
        </w:rPr>
        <w:t>1</w:t>
      </w:r>
      <w:r>
        <w:rPr>
          <w:b/>
        </w:rPr>
        <w:t xml:space="preserve">. </w:t>
      </w:r>
      <w:r>
        <w:t>If you haven’t contributed the maximum this year, consider making another pre-tax contribution. Every dollar that goes into your HSA means more income and payroll tax savings. Don’t forget—you can contribute for the previous year right up until Tax Day.</w:t>
      </w:r>
    </w:p>
    <w:p w14:paraId="725D5450" w14:textId="77777777" w:rsidR="00111094" w:rsidRDefault="00111094" w:rsidP="00111094">
      <w:pPr>
        <w:numPr>
          <w:ilvl w:val="0"/>
          <w:numId w:val="5"/>
        </w:numPr>
        <w:spacing w:line="240" w:lineRule="auto"/>
        <w:ind w:left="1080"/>
      </w:pPr>
      <w:r>
        <w:rPr>
          <w:b/>
        </w:rPr>
        <w:t xml:space="preserve">Don’t worry about losing unused funds. </w:t>
      </w:r>
      <w:r>
        <w:t xml:space="preserve">HSA dollars rollover every year, indefinitely. Treat it like your nest egg. The money will be there to help pay for healthcare expenses in retirement. </w:t>
      </w:r>
    </w:p>
    <w:p w14:paraId="01787D73" w14:textId="77777777" w:rsidR="00111094" w:rsidRDefault="00111094" w:rsidP="00111094">
      <w:pPr>
        <w:numPr>
          <w:ilvl w:val="0"/>
          <w:numId w:val="6"/>
        </w:numPr>
        <w:spacing w:line="240" w:lineRule="auto"/>
        <w:ind w:left="1080"/>
      </w:pPr>
      <w:r w:rsidRPr="00A50A75">
        <w:rPr>
          <w:b/>
        </w:rPr>
        <w:t>Accelerate your health savings.</w:t>
      </w:r>
      <w:r>
        <w:rPr>
          <w:b/>
        </w:rPr>
        <w:t xml:space="preserve"> </w:t>
      </w:r>
      <w:r w:rsidRPr="004751E7">
        <w:rPr>
          <w:bCs/>
        </w:rPr>
        <w:t>Put your HSA to work and start investing in low-cost mutual funds</w:t>
      </w:r>
      <w:r w:rsidRPr="00E54820">
        <w:rPr>
          <w:bCs/>
          <w:vertAlign w:val="superscript"/>
        </w:rPr>
        <w:t>2</w:t>
      </w:r>
      <w:r w:rsidRPr="004751E7">
        <w:rPr>
          <w:bCs/>
        </w:rPr>
        <w:t>.</w:t>
      </w:r>
      <w:r w:rsidRPr="00A50A75">
        <w:rPr>
          <w:b/>
        </w:rPr>
        <w:t xml:space="preserve"> </w:t>
      </w:r>
      <w:r>
        <w:rPr>
          <w:bCs/>
        </w:rPr>
        <w:t xml:space="preserve">Just like your 401(k), investing HSA dollars gives you the opportunity to exponentially grow your wealth. </w:t>
      </w:r>
      <w:r>
        <w:t xml:space="preserve">Balances </w:t>
      </w:r>
      <w:r w:rsidRPr="007B7AD1">
        <w:rPr>
          <w:highlight w:val="yellow"/>
        </w:rPr>
        <w:t>[insert investment threshold $ amount]</w:t>
      </w:r>
      <w:r>
        <w:t xml:space="preserve"> are eligible to invest. </w:t>
      </w:r>
    </w:p>
    <w:p w14:paraId="067145F9" w14:textId="77777777" w:rsidR="00111094" w:rsidRDefault="00111094" w:rsidP="00111094">
      <w:pPr>
        <w:spacing w:line="240" w:lineRule="auto"/>
      </w:pPr>
    </w:p>
    <w:p w14:paraId="429626D8" w14:textId="77777777" w:rsidR="00111094" w:rsidRDefault="00111094" w:rsidP="00111094">
      <w:pPr>
        <w:spacing w:line="240" w:lineRule="auto"/>
      </w:pPr>
      <w:r>
        <w:t xml:space="preserve">Learn more about your HSA at </w:t>
      </w:r>
      <w:r w:rsidRPr="00A47C61">
        <w:rPr>
          <w:u w:val="single"/>
        </w:rPr>
        <w:t>HealthEquity.com/Learn</w:t>
      </w:r>
      <w:r>
        <w:rPr>
          <w:u w:val="single"/>
        </w:rPr>
        <w:t>.</w:t>
      </w:r>
    </w:p>
    <w:p w14:paraId="155CF316" w14:textId="77777777" w:rsidR="00111094" w:rsidRDefault="00111094" w:rsidP="00111094">
      <w:pPr>
        <w:spacing w:line="240" w:lineRule="auto"/>
      </w:pPr>
    </w:p>
    <w:p w14:paraId="29E65994" w14:textId="77777777" w:rsidR="00111094" w:rsidRDefault="00111094" w:rsidP="00111094">
      <w:pPr>
        <w:spacing w:line="240" w:lineRule="auto"/>
      </w:pPr>
      <w:r>
        <w:t>Questions? We’re here for you 24/7</w:t>
      </w:r>
    </w:p>
    <w:p w14:paraId="05073A4B" w14:textId="77777777" w:rsidR="00111094" w:rsidRDefault="00111094" w:rsidP="00111094">
      <w:pPr>
        <w:spacing w:line="240" w:lineRule="auto"/>
      </w:pPr>
      <w:r>
        <w:t xml:space="preserve">866.346.5800 </w:t>
      </w:r>
    </w:p>
    <w:p w14:paraId="0153F337" w14:textId="77777777" w:rsidR="00111094" w:rsidRDefault="00111094" w:rsidP="00111094">
      <w:pPr>
        <w:spacing w:line="240" w:lineRule="auto"/>
      </w:pPr>
      <w:r w:rsidRPr="00E54820">
        <w:rPr>
          <w:vertAlign w:val="superscript"/>
        </w:rPr>
        <w:t>1</w:t>
      </w:r>
      <w:r w:rsidRPr="00673080">
        <w:rPr>
          <w:sz w:val="15"/>
          <w:szCs w:val="15"/>
        </w:rPr>
        <w:t xml:space="preserve"> </w:t>
      </w:r>
      <w:r w:rsidRPr="008C063F">
        <w:rPr>
          <w:sz w:val="15"/>
          <w:szCs w:val="15"/>
        </w:rPr>
        <w:t>HSAs are never taxed at a federal income tax level when used appropriately for qualified medical expenses. Also, most states recognize HSA funds as tax-free with very few exceptions. Please consult a tax advisor regarding your state’s specific rules.</w:t>
      </w:r>
    </w:p>
    <w:p w14:paraId="0CA63FA7" w14:textId="77777777" w:rsidR="00111094" w:rsidRDefault="00111094" w:rsidP="00111094">
      <w:pPr>
        <w:spacing w:line="240" w:lineRule="auto"/>
      </w:pPr>
      <w:r w:rsidRPr="00E54820">
        <w:rPr>
          <w:vertAlign w:val="superscript"/>
        </w:rPr>
        <w:t>2</w:t>
      </w:r>
      <w:r w:rsidRPr="00673080">
        <w:t xml:space="preserve"> </w:t>
      </w:r>
      <w:r w:rsidRPr="00E54820">
        <w:rPr>
          <w:sz w:val="15"/>
          <w:szCs w:val="15"/>
        </w:rPr>
        <w:t>Investments are subject to risk, including the possible loss of the principal invested, and are not FDIC or NCUA insured, or guaranteed by HealthEquity, Inc. Investing through the HealthEquity investment platform is subject to the terms and conditions of the Health Savings Account Custodial Agreement and any applicable investment supplement. Investing may not be suitable for everyone and before making any investments, review the fund’s prospectus.</w:t>
      </w:r>
    </w:p>
    <w:p w14:paraId="60E4A5C3" w14:textId="77777777" w:rsidR="00111094" w:rsidRPr="00A71AF5" w:rsidRDefault="00111094" w:rsidP="00111094">
      <w:pPr>
        <w:spacing w:line="240" w:lineRule="auto"/>
      </w:pPr>
      <w:r w:rsidRPr="00EA6BBD">
        <w:rPr>
          <w:sz w:val="15"/>
          <w:szCs w:val="15"/>
        </w:rPr>
        <w:t>HealthEquity does not provide legal, tax or financial advice. Always consult a professional when making life changing decisions.</w:t>
      </w:r>
    </w:p>
    <w:p w14:paraId="344E0D8A" w14:textId="6CE6408E" w:rsidR="00111094" w:rsidRDefault="00111094" w:rsidP="00111094">
      <w:pPr>
        <w:pBdr>
          <w:bottom w:val="single" w:sz="12" w:space="1" w:color="auto"/>
        </w:pBdr>
      </w:pPr>
    </w:p>
    <w:p w14:paraId="64382548" w14:textId="77777777" w:rsidR="00111094" w:rsidRDefault="00111094" w:rsidP="00111094"/>
    <w:p w14:paraId="3246352C" w14:textId="77777777" w:rsidR="00111094" w:rsidRPr="00111094" w:rsidRDefault="00111094" w:rsidP="00111094">
      <w:pPr>
        <w:pStyle w:val="Heading3"/>
        <w:spacing w:before="0" w:after="0" w:line="240" w:lineRule="auto"/>
        <w:rPr>
          <w:b/>
          <w:bCs/>
          <w:sz w:val="32"/>
          <w:szCs w:val="32"/>
        </w:rPr>
      </w:pPr>
      <w:bookmarkStart w:id="7" w:name="_Toc45098161"/>
      <w:r w:rsidRPr="00111094">
        <w:rPr>
          <w:b/>
          <w:bCs/>
          <w:sz w:val="32"/>
          <w:szCs w:val="32"/>
        </w:rPr>
        <w:t>Summer Tips</w:t>
      </w:r>
      <w:bookmarkEnd w:id="7"/>
    </w:p>
    <w:p w14:paraId="4A729D05" w14:textId="77777777" w:rsidR="00111094" w:rsidRDefault="00111094" w:rsidP="00111094">
      <w:pPr>
        <w:pStyle w:val="Heading3"/>
        <w:spacing w:before="0" w:after="0" w:line="240" w:lineRule="auto"/>
      </w:pPr>
      <w:bookmarkStart w:id="8" w:name="_pw60v5mour4h" w:colFirst="0" w:colLast="0"/>
      <w:bookmarkStart w:id="9" w:name="_v89edesqai46" w:colFirst="0" w:colLast="0"/>
      <w:bookmarkStart w:id="10" w:name="_byokdvn3huse" w:colFirst="0" w:colLast="0"/>
      <w:bookmarkStart w:id="11" w:name="_9cg5f9rf8c3v" w:colFirst="0" w:colLast="0"/>
      <w:bookmarkStart w:id="12" w:name="_Toc45098162"/>
      <w:bookmarkEnd w:id="8"/>
      <w:bookmarkEnd w:id="9"/>
      <w:bookmarkEnd w:id="10"/>
      <w:bookmarkEnd w:id="11"/>
    </w:p>
    <w:p w14:paraId="29FE9FF6" w14:textId="77777777" w:rsidR="00111094" w:rsidRDefault="00111094" w:rsidP="00111094">
      <w:pPr>
        <w:pStyle w:val="Heading3"/>
        <w:spacing w:before="0" w:after="0" w:line="240" w:lineRule="auto"/>
      </w:pPr>
      <w:r>
        <w:t>Newsletter</w:t>
      </w:r>
      <w:bookmarkEnd w:id="12"/>
    </w:p>
    <w:p w14:paraId="284B5D5C" w14:textId="77777777" w:rsidR="00111094" w:rsidRDefault="00111094" w:rsidP="00111094">
      <w:pPr>
        <w:shd w:val="clear" w:color="auto" w:fill="FFFFFF"/>
        <w:spacing w:line="240" w:lineRule="auto"/>
      </w:pPr>
      <w:r w:rsidRPr="00310501">
        <w:rPr>
          <w:b/>
        </w:rPr>
        <w:t xml:space="preserve">Title: </w:t>
      </w:r>
      <w:r>
        <w:rPr>
          <w:b/>
        </w:rPr>
        <w:t xml:space="preserve">Summertime, and the saving is easy </w:t>
      </w:r>
    </w:p>
    <w:p w14:paraId="6E4966B7" w14:textId="77777777" w:rsidR="00111094" w:rsidRDefault="00111094" w:rsidP="00111094">
      <w:pPr>
        <w:shd w:val="clear" w:color="auto" w:fill="FFFFFF"/>
        <w:spacing w:line="240" w:lineRule="auto"/>
      </w:pPr>
      <w:r>
        <w:t xml:space="preserve"> </w:t>
      </w:r>
    </w:p>
    <w:p w14:paraId="10F66196" w14:textId="77777777" w:rsidR="00111094" w:rsidRDefault="00111094" w:rsidP="00111094">
      <w:pPr>
        <w:shd w:val="clear" w:color="auto" w:fill="FFFFFF"/>
        <w:spacing w:line="240" w:lineRule="auto"/>
      </w:pPr>
      <w:r>
        <w:t xml:space="preserve">Summer vacation is just around the corner. It’s a good time to make sure your HSA is as ready as you are.  </w:t>
      </w:r>
    </w:p>
    <w:p w14:paraId="570A6892" w14:textId="77777777" w:rsidR="00111094" w:rsidRDefault="00111094" w:rsidP="00111094">
      <w:pPr>
        <w:shd w:val="clear" w:color="auto" w:fill="FFFFFF"/>
        <w:spacing w:line="240" w:lineRule="auto"/>
      </w:pPr>
      <w:r>
        <w:t xml:space="preserve"> </w:t>
      </w:r>
    </w:p>
    <w:p w14:paraId="455A81E7" w14:textId="77777777" w:rsidR="00111094" w:rsidRDefault="00111094" w:rsidP="00111094">
      <w:pPr>
        <w:numPr>
          <w:ilvl w:val="0"/>
          <w:numId w:val="7"/>
        </w:numPr>
        <w:shd w:val="clear" w:color="auto" w:fill="FFFFFF"/>
        <w:spacing w:line="240" w:lineRule="auto"/>
        <w:ind w:left="1080"/>
      </w:pPr>
      <w:r>
        <w:rPr>
          <w:b/>
        </w:rPr>
        <w:t>Prepare for the unexpected</w:t>
      </w:r>
      <w:r w:rsidRPr="008F1619">
        <w:rPr>
          <w:b/>
          <w:bCs/>
        </w:rPr>
        <w:t>.</w:t>
      </w:r>
      <w:r>
        <w:t xml:space="preserve"> As you schedule summer trips and activities, consider contributing enough to cover unforeseen accidents and illnesses. Take advantage of current contribution limits to boost your savings. </w:t>
      </w:r>
    </w:p>
    <w:p w14:paraId="3C366518" w14:textId="77777777" w:rsidR="00111094" w:rsidRDefault="00111094" w:rsidP="00111094">
      <w:pPr>
        <w:numPr>
          <w:ilvl w:val="0"/>
          <w:numId w:val="8"/>
        </w:numPr>
        <w:shd w:val="clear" w:color="auto" w:fill="FFFFFF"/>
        <w:spacing w:line="240" w:lineRule="auto"/>
        <w:ind w:left="1080"/>
      </w:pPr>
      <w:r>
        <w:rPr>
          <w:b/>
        </w:rPr>
        <w:t>Know what’s covered</w:t>
      </w:r>
      <w:r w:rsidRPr="00E54820">
        <w:rPr>
          <w:b/>
          <w:vertAlign w:val="superscript"/>
        </w:rPr>
        <w:t>1</w:t>
      </w:r>
      <w:r>
        <w:rPr>
          <w:b/>
        </w:rPr>
        <w:t>.</w:t>
      </w:r>
      <w:r>
        <w:t xml:space="preserve"> You can use your HSA to pay for everything from crutches and motion sickness wristbands to menstrual care products and first aid kits. Want to know if an expense is covered? Visit </w:t>
      </w:r>
      <w:hyperlink r:id="rId5">
        <w:r>
          <w:rPr>
            <w:u w:val="single"/>
          </w:rPr>
          <w:t>http://healthequity.com/QME</w:t>
        </w:r>
      </w:hyperlink>
      <w:r>
        <w:t xml:space="preserve">. </w:t>
      </w:r>
    </w:p>
    <w:p w14:paraId="0DD10BF5" w14:textId="77777777" w:rsidR="00111094" w:rsidRDefault="00111094" w:rsidP="00111094">
      <w:pPr>
        <w:numPr>
          <w:ilvl w:val="0"/>
          <w:numId w:val="9"/>
        </w:numPr>
        <w:shd w:val="clear" w:color="auto" w:fill="FFFFFF"/>
        <w:spacing w:line="240" w:lineRule="auto"/>
        <w:ind w:left="1080"/>
      </w:pPr>
      <w:r>
        <w:rPr>
          <w:b/>
        </w:rPr>
        <w:t>Research your options</w:t>
      </w:r>
      <w:r w:rsidRPr="008F1619">
        <w:rPr>
          <w:b/>
          <w:bCs/>
        </w:rPr>
        <w:t>.</w:t>
      </w:r>
      <w:r>
        <w:t xml:space="preserve"> Just because </w:t>
      </w:r>
      <w:proofErr w:type="gramStart"/>
      <w:r>
        <w:t>you’re</w:t>
      </w:r>
      <w:proofErr w:type="gramEnd"/>
      <w:r>
        <w:t xml:space="preserve"> miles away from home doesn’t mean affordable care is out of reach. Before hopping on a plane or getting in the car, take an hour to research your options and identify opportunities for savings, such as in-</w:t>
      </w:r>
      <w:r>
        <w:lastRenderedPageBreak/>
        <w:t xml:space="preserve">network versus out-of-network doctors, generic versus brand name prescriptions, and urgent care locations versus the emergency room. </w:t>
      </w:r>
    </w:p>
    <w:p w14:paraId="27C47F5C" w14:textId="77777777" w:rsidR="00111094" w:rsidRDefault="00111094" w:rsidP="00111094">
      <w:pPr>
        <w:shd w:val="clear" w:color="auto" w:fill="FFFFFF"/>
        <w:spacing w:line="240" w:lineRule="auto"/>
      </w:pPr>
      <w:r>
        <w:t xml:space="preserve"> </w:t>
      </w:r>
    </w:p>
    <w:p w14:paraId="3856BF98" w14:textId="77777777" w:rsidR="00111094" w:rsidRDefault="00111094" w:rsidP="00111094">
      <w:pPr>
        <w:shd w:val="clear" w:color="auto" w:fill="FFFFFF"/>
        <w:spacing w:line="240" w:lineRule="auto"/>
      </w:pPr>
      <w:r>
        <w:t>Questions? We’re here for you 24/7</w:t>
      </w:r>
    </w:p>
    <w:p w14:paraId="7300F585" w14:textId="77777777" w:rsidR="00111094" w:rsidRDefault="00111094" w:rsidP="00111094">
      <w:pPr>
        <w:shd w:val="clear" w:color="auto" w:fill="FFFFFF"/>
        <w:spacing w:line="240" w:lineRule="auto"/>
      </w:pPr>
      <w:r>
        <w:t>866.346.5800</w:t>
      </w:r>
    </w:p>
    <w:p w14:paraId="06D7DE37" w14:textId="77777777" w:rsidR="00111094" w:rsidRDefault="00111094" w:rsidP="00111094">
      <w:pPr>
        <w:shd w:val="clear" w:color="auto" w:fill="FFFFFF"/>
        <w:spacing w:line="240" w:lineRule="auto"/>
      </w:pPr>
    </w:p>
    <w:p w14:paraId="227490DD" w14:textId="77777777" w:rsidR="00111094" w:rsidRDefault="00111094" w:rsidP="00111094">
      <w:pPr>
        <w:spacing w:line="240" w:lineRule="auto"/>
      </w:pPr>
      <w:bookmarkStart w:id="13" w:name="_9wuszd2vrkxt" w:colFirst="0" w:colLast="0"/>
      <w:bookmarkStart w:id="14" w:name="_xyhagp3d9ra2" w:colFirst="0" w:colLast="0"/>
      <w:bookmarkEnd w:id="13"/>
      <w:bookmarkEnd w:id="14"/>
      <w:r w:rsidRPr="00E54820">
        <w:rPr>
          <w:vertAlign w:val="superscript"/>
        </w:rPr>
        <w:t>1</w:t>
      </w:r>
      <w:r w:rsidRPr="00E54820">
        <w:rPr>
          <w:sz w:val="15"/>
          <w:szCs w:val="15"/>
        </w:rPr>
        <w:t>It is the members’ responsibility to ensure eligibility requirements as well as if they are eligible for the expenses submitted.</w:t>
      </w:r>
    </w:p>
    <w:p w14:paraId="50F88869" w14:textId="77777777" w:rsidR="00111094" w:rsidRPr="00111094" w:rsidRDefault="00111094" w:rsidP="00111094"/>
    <w:sectPr w:rsidR="00111094" w:rsidRPr="00111094"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49A9"/>
    <w:multiLevelType w:val="hybridMultilevel"/>
    <w:tmpl w:val="F72AB49E"/>
    <w:lvl w:ilvl="0" w:tplc="C88A1174">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B0BE8"/>
    <w:multiLevelType w:val="multilevel"/>
    <w:tmpl w:val="FDF2E924"/>
    <w:lvl w:ilvl="0">
      <w:start w:val="1"/>
      <w:numFmt w:val="bullet"/>
      <w:lvlText w:val="●"/>
      <w:lvlJc w:val="left"/>
      <w:pPr>
        <w:ind w:left="1080" w:hanging="360"/>
      </w:pPr>
      <w:rPr>
        <w:rFonts w:ascii="Verdana" w:eastAsia="Verdana" w:hAnsi="Verdana" w:cs="Verdana"/>
        <w:sz w:val="18"/>
        <w:szCs w:val="18"/>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 w15:restartNumberingAfterBreak="0">
    <w:nsid w:val="05D202D2"/>
    <w:multiLevelType w:val="multilevel"/>
    <w:tmpl w:val="9E387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DD5283C"/>
    <w:multiLevelType w:val="multilevel"/>
    <w:tmpl w:val="95708244"/>
    <w:lvl w:ilvl="0">
      <w:start w:val="3"/>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1ED87902"/>
    <w:multiLevelType w:val="multilevel"/>
    <w:tmpl w:val="2C8A0908"/>
    <w:lvl w:ilvl="0">
      <w:start w:val="3"/>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202E2D39"/>
    <w:multiLevelType w:val="multilevel"/>
    <w:tmpl w:val="1AE88326"/>
    <w:lvl w:ilvl="0">
      <w:start w:val="1"/>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4E60BEC"/>
    <w:multiLevelType w:val="multilevel"/>
    <w:tmpl w:val="3612B42E"/>
    <w:lvl w:ilvl="0">
      <w:start w:val="1"/>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6D71566B"/>
    <w:multiLevelType w:val="multilevel"/>
    <w:tmpl w:val="FFD076E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F6F09FA"/>
    <w:multiLevelType w:val="multilevel"/>
    <w:tmpl w:val="D0AC0786"/>
    <w:lvl w:ilvl="0">
      <w:start w:val="2"/>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7"/>
  </w:num>
  <w:num w:numId="2">
    <w:abstractNumId w:val="1"/>
  </w:num>
  <w:num w:numId="3">
    <w:abstractNumId w:val="0"/>
  </w:num>
  <w:num w:numId="4">
    <w:abstractNumId w:val="2"/>
  </w:num>
  <w:num w:numId="5">
    <w:abstractNumId w:val="5"/>
  </w:num>
  <w:num w:numId="6">
    <w:abstractNumId w:val="3"/>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800"/>
    <w:rsid w:val="000028C8"/>
    <w:rsid w:val="00111094"/>
    <w:rsid w:val="002067F0"/>
    <w:rsid w:val="00292E49"/>
    <w:rsid w:val="0088688A"/>
    <w:rsid w:val="008F13B7"/>
    <w:rsid w:val="009D57CC"/>
    <w:rsid w:val="00C12800"/>
    <w:rsid w:val="00E9591D"/>
    <w:rsid w:val="00FA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6EF7EC"/>
  <w15:chartTrackingRefBased/>
  <w15:docId w15:val="{8C051B52-8375-D848-ABEF-03E325D5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F13B7"/>
    <w:pPr>
      <w:spacing w:line="276" w:lineRule="auto"/>
    </w:pPr>
    <w:rPr>
      <w:rFonts w:ascii="Arial" w:eastAsia="Arial" w:hAnsi="Arial" w:cs="Arial"/>
      <w:sz w:val="22"/>
      <w:szCs w:val="22"/>
      <w:lang w:val="en"/>
    </w:rPr>
  </w:style>
  <w:style w:type="paragraph" w:styleId="Heading2">
    <w:name w:val="heading 2"/>
    <w:basedOn w:val="Normal"/>
    <w:next w:val="Normal"/>
    <w:link w:val="Heading2Char"/>
    <w:uiPriority w:val="9"/>
    <w:semiHidden/>
    <w:unhideWhenUsed/>
    <w:qFormat/>
    <w:rsid w:val="0011109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rsid w:val="008F13B7"/>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9D57C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F13B7"/>
    <w:rPr>
      <w:rFonts w:ascii="Arial" w:eastAsia="Arial" w:hAnsi="Arial" w:cs="Arial"/>
      <w:color w:val="434343"/>
      <w:sz w:val="28"/>
      <w:szCs w:val="28"/>
      <w:lang w:val="en"/>
    </w:rPr>
  </w:style>
  <w:style w:type="paragraph" w:styleId="ListParagraph">
    <w:name w:val="List Paragraph"/>
    <w:basedOn w:val="Normal"/>
    <w:uiPriority w:val="34"/>
    <w:qFormat/>
    <w:rsid w:val="008F13B7"/>
    <w:pPr>
      <w:ind w:left="720"/>
      <w:contextualSpacing/>
    </w:pPr>
  </w:style>
  <w:style w:type="character" w:styleId="Hyperlink">
    <w:name w:val="Hyperlink"/>
    <w:basedOn w:val="DefaultParagraphFont"/>
    <w:uiPriority w:val="99"/>
    <w:unhideWhenUsed/>
    <w:rsid w:val="008F13B7"/>
    <w:rPr>
      <w:color w:val="0563C1" w:themeColor="hyperlink"/>
      <w:u w:val="single"/>
    </w:rPr>
  </w:style>
  <w:style w:type="character" w:customStyle="1" w:styleId="Heading4Char">
    <w:name w:val="Heading 4 Char"/>
    <w:basedOn w:val="DefaultParagraphFont"/>
    <w:link w:val="Heading4"/>
    <w:uiPriority w:val="9"/>
    <w:semiHidden/>
    <w:rsid w:val="009D57CC"/>
    <w:rPr>
      <w:rFonts w:asciiTheme="majorHAnsi" w:eastAsiaTheme="majorEastAsia" w:hAnsiTheme="majorHAnsi" w:cstheme="majorBidi"/>
      <w:i/>
      <w:iCs/>
      <w:color w:val="2F5496" w:themeColor="accent1" w:themeShade="BF"/>
      <w:sz w:val="22"/>
      <w:szCs w:val="22"/>
      <w:lang w:val="en"/>
    </w:rPr>
  </w:style>
  <w:style w:type="character" w:customStyle="1" w:styleId="Heading2Char">
    <w:name w:val="Heading 2 Char"/>
    <w:basedOn w:val="DefaultParagraphFont"/>
    <w:link w:val="Heading2"/>
    <w:uiPriority w:val="9"/>
    <w:semiHidden/>
    <w:rsid w:val="00111094"/>
    <w:rPr>
      <w:rFonts w:asciiTheme="majorHAnsi" w:eastAsiaTheme="majorEastAsia" w:hAnsiTheme="majorHAnsi" w:cstheme="majorBidi"/>
      <w:color w:val="2F5496" w:themeColor="accent1" w:themeShade="BF"/>
      <w:sz w:val="26"/>
      <w:szCs w:val="2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ealthequity.com/Q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2659</Characters>
  <Application>Microsoft Office Word</Application>
  <DocSecurity>0</DocSecurity>
  <Lines>78</Lines>
  <Paragraphs>50</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3</cp:revision>
  <dcterms:created xsi:type="dcterms:W3CDTF">2020-12-10T16:54:00Z</dcterms:created>
  <dcterms:modified xsi:type="dcterms:W3CDTF">2020-12-10T16:55:00Z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2020-12-10T16:52:54Z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cba7e45b-d166-4b05-a701-2c27ed3e89c3</vt:lpwstr>
  </property>
  <property fmtid="{D5CDD505-2E9C-101B-9397-08002B2CF9AE}" pid="8" name="MSIP_Label_3b23c674-de8a-426d-bc8b-74ad6594a910_ContentBits">
    <vt:lpwstr>0</vt:lpwstr>
  </property>
</Properties>
</file>